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5"/>
      </w:tblGrid>
      <w:tr w:rsidR="007C5F74" w:rsidRPr="007C5F74" w:rsidTr="007C5F74">
        <w:trPr>
          <w:tblCellSpacing w:w="15" w:type="dxa"/>
        </w:trPr>
        <w:tc>
          <w:tcPr>
            <w:tcW w:w="0" w:type="auto"/>
            <w:hideMark/>
          </w:tcPr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355-XVI din 23.12.2005  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sectorul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de la 1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cînd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trimestrul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precedent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gestionar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prognozat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Conform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pct. 2 din note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11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susmenționată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începînd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1000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din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2013, 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prognozat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4225 lei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același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timp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conform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informației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Național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Statistică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lunar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trimestrul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3853,4 lei.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atinge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prognozat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țară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 la 1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2014,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puțin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9,6 % (4225 : 3853,4 = 109,6).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Totodată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preuniversitar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3548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lei.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context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menționăm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odată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trecerea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universităților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autonomie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creșterea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depinde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măsură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posibilitățile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prognozată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certitudine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aceasta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întrucît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înalt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grădinițe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aceasta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permite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fapt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atingerea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țară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considerăm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prevederii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(p. 2 din note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11)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luării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aprecierea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procentului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creștere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atins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ansamblu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preuniversitar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finanțate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 la 1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2014,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puțin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 (4225 : 3548,4 = 119,1 %).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I: 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Reieșind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indicate,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specificate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anexa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nr. 11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cadre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funcțiile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corpului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cu 20%.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proporția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învățătorii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gimnazii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colegii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grădinițe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muzică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extrașcolare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profesorii-antrenori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sportive,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maiștrii-instructori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sprijin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psihopedagogii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cadre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părinții-educatori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tip familial.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Concomitent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aduce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educatorilor</w:t>
            </w:r>
            <w:proofErr w:type="spellEnd"/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altor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cadre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grădinițe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creșe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conducător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muzical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logoped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defectolog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pînă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prevăzut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această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32 %.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asemenea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lunare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corpul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profesoral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universitar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superior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autonomie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financiară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grilelor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195 din 13.03.2013,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pînă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prevăzut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similare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sectorul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Conform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prealabile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realizarea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majorări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,4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(568,8 mil lei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142,2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II: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Conform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Hotărîrii</w:t>
            </w:r>
            <w:proofErr w:type="spellEnd"/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381 din 13.04.2006,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V-XII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colegii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un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dirigenție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150 lei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învățătorii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I-IV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școlile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meserii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80 lei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suplimentul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dirigenție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cu 20 %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stabili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diriginții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diriginții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V-XII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colegii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(10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 lei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ceilalți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(8,0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– 100 lei.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măsuri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estimează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,5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4,5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III: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preșcolare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preuniversitar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asistente</w:t>
            </w:r>
            <w:proofErr w:type="spellEnd"/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medicale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cărora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efectuează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conform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Rețelei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tarifare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peste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20 %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decalaj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păstrarea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corelației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existente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stabili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medical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înaltă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eficiență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intensitatea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muncii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30 %.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măsuri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estimează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,2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3,6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IV: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stabilirea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sporului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vechime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proofErr w:type="gram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dădace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ajutori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creșe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grădinițe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- 13,0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RTU – 4; 5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- 920 lei; 925 lei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 la 1.10.2014 - 1040 lei; 1060 lei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10%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lunar – 8,3%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vechime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- 20%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lunar: 1060 x 0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13,0 x 1,083 x 1,27 = 3,8 mil.lei.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   3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3 =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11,4 </w:t>
            </w: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mil. lei,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      3,8 x 12 = </w:t>
            </w:r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45,6</w:t>
            </w: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mil. </w:t>
            </w:r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lei</w:t>
            </w:r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ajutorii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educatori</w:t>
            </w:r>
            <w:proofErr w:type="spellEnd"/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09"/>
              <w:gridCol w:w="895"/>
              <w:gridCol w:w="931"/>
              <w:gridCol w:w="787"/>
              <w:gridCol w:w="799"/>
              <w:gridCol w:w="895"/>
              <w:gridCol w:w="899"/>
              <w:gridCol w:w="1028"/>
              <w:gridCol w:w="907"/>
            </w:tblGrid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Structura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salariului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1.10.2014</w:t>
                  </w:r>
                </w:p>
              </w:tc>
              <w:tc>
                <w:tcPr>
                  <w:tcW w:w="41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vechime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muncă</w:t>
                  </w:r>
                  <w:proofErr w:type="spellEnd"/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Min.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Max.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Min.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Max.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30%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Categoria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salarizare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lunar, lei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925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vechime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(10-30%)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312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318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proces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educativ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(10%)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92,5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Premiu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8,3 %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124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Total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lună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, lei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1096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1102,5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1239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1263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1352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1577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1378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1608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Premiul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anual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1/12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88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mediu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, lei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1172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1179,5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1326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1351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1439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1664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1466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1696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Majorarea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salariului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, lei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+ 154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+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171,5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+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+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492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+ 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286,5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+ 516,5</w:t>
                  </w:r>
                </w:p>
              </w:tc>
            </w:tr>
          </w:tbl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Propunerea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V: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Conform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condițiilor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specialiști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diferite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ramuri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dispun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înaltă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competență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intensitatea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(art. 29(7) al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355-XVI din 23.12.2005)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20 % (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conducători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cămine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culturale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pînă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80 % (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transfuzie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sîngelui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Totodată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circa 30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asemenea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specialiști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(~12,0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sport (~7,0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sănătatea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(~7,0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personal civil din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apărării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naționale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securității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ordinii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20 % de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menține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corelația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existentă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diferitor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angajați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împreună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preconizată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1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octombrie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asigura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cît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comparabilă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propusă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lunar se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estimează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14,0 mil.lei (168,0 mil.lei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– 42,0 mil.lei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specialiști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funcții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complexe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9"/>
              <w:gridCol w:w="930"/>
              <w:gridCol w:w="815"/>
              <w:gridCol w:w="930"/>
              <w:gridCol w:w="815"/>
              <w:gridCol w:w="959"/>
              <w:gridCol w:w="1047"/>
              <w:gridCol w:w="930"/>
              <w:gridCol w:w="815"/>
            </w:tblGrid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Structura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salariului</w:t>
                  </w:r>
                  <w:proofErr w:type="spellEnd"/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Bibliotecar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ani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vechime</w:t>
                  </w:r>
                  <w:proofErr w:type="spellEnd"/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Laborant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Medic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internat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psihoneurologic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13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vechime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Contabil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Categoria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salarizare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lunar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vechime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(10-30%)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categorie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calificare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(30%, 40%, 50%)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condiții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specifice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intensitatea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muncii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Premiu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8,3 %; 33,3%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Total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lună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3448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1592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Premiul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anual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mediu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1236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1438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3223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Majorarea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salariului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10635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octombrie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2014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funcție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mediu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Majorarea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630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433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899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28%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520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35%</w:t>
                  </w:r>
                </w:p>
              </w:tc>
            </w:tr>
          </w:tbl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afară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aceasta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nr. 180 din 11.03.2013,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luna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august 2014,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urmează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fie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achitat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premiul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rezultatele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2013-2014,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mărimea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lunar,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ceea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constituie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 circa 160 mil. lei.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propunerilor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expuse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această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notă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următorii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elaborarea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promovarea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anexei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11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355-XVI din 23.12.2005;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hotărîre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Hotărîrilor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381 din 13.04.2006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195 din  13.03.2013;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identificare</w:t>
            </w:r>
            <w:proofErr w:type="spellEnd"/>
            <w:proofErr w:type="gram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surselor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acoperire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cheltuielilor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didactice</w:t>
            </w:r>
            <w:proofErr w:type="spellEnd"/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45"/>
              <w:gridCol w:w="1492"/>
              <w:gridCol w:w="1505"/>
              <w:gridCol w:w="1408"/>
            </w:tblGrid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Funcția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lunar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vigoare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 lei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+ 20%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Majorarea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lei</w:t>
                  </w:r>
                  <w:proofErr w:type="spellEnd"/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Profesor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învățător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cadre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didactice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din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învățămîntul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preșcolar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superioare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+440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+400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Ia. Cadre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didactice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din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învățămîntul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preșcolar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superioare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+640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+600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Metodist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și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alte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cadre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didactice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din 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învățămîntul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primar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secundar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secundar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profesional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special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și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extrașcolar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superioare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+400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+360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Instructor,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maistru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-instructor (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maistru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instruire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producție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metodist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din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învățămîntul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secundar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profesional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și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superioare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+400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+360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IV. 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Pedagog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social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cămine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internate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și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instituții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asistență</w:t>
                  </w:r>
                  <w:proofErr w:type="spellEnd"/>
                </w:p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socială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;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părinte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-educator al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casei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copii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tip familial: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superioare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+360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cu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studii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medii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1920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+320</w:t>
                  </w:r>
                </w:p>
              </w:tc>
            </w:tr>
          </w:tbl>
          <w:p w:rsidR="007C5F74" w:rsidRPr="007C5F74" w:rsidRDefault="007C5F74" w:rsidP="007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C5F74" w:rsidRPr="007C5F74" w:rsidRDefault="007C5F74" w:rsidP="007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unele</w:t>
            </w:r>
            <w:proofErr w:type="spellEnd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cadre </w:t>
            </w:r>
            <w:proofErr w:type="spellStart"/>
            <w:r w:rsidRPr="007C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didactice</w:t>
            </w:r>
            <w:proofErr w:type="spellEnd"/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2"/>
              <w:gridCol w:w="928"/>
              <w:gridCol w:w="815"/>
              <w:gridCol w:w="929"/>
              <w:gridCol w:w="815"/>
              <w:gridCol w:w="929"/>
              <w:gridCol w:w="815"/>
              <w:gridCol w:w="1202"/>
              <w:gridCol w:w="815"/>
            </w:tblGrid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Structura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salariului</w:t>
                  </w:r>
                  <w:proofErr w:type="spellEnd"/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Director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40%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Profesor</w:t>
                  </w:r>
                  <w:proofErr w:type="spellEnd"/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Educator</w:t>
                  </w:r>
                  <w:proofErr w:type="spellEnd"/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Părinte-educator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80%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vigoare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proiect</w:t>
                  </w:r>
                  <w:proofErr w:type="spellEnd"/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lunar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1536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vechime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(10-30%)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grad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didactic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(30%, 40%, 50%)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dirigenție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control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lucrări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Spor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cond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spec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20%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Premiu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8,3 %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554(30%)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Total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pe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lună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2662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Premiul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anual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Salariul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mediu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5927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2790</w:t>
                  </w:r>
                </w:p>
              </w:tc>
            </w:tr>
            <w:tr w:rsidR="007C5F74" w:rsidRPr="007C5F74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Majorarea</w:t>
                  </w:r>
                  <w:proofErr w:type="spellEnd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salariului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1025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5F74" w:rsidRPr="007C5F74" w:rsidRDefault="007C5F74" w:rsidP="007C5F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</w:tr>
          </w:tbl>
          <w:p w:rsidR="007C5F74" w:rsidRPr="007C5F74" w:rsidRDefault="007C5F74" w:rsidP="007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F74" w:rsidRPr="007C5F74" w:rsidRDefault="007C5F74" w:rsidP="007C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C5F74" w:rsidRPr="007C5F74" w:rsidRDefault="007C5F74" w:rsidP="007C5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</w:pPr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 xml:space="preserve">© 2010 </w:t>
      </w:r>
      <w:proofErr w:type="spellStart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>Sindicatul</w:t>
      </w:r>
      <w:proofErr w:type="spellEnd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 xml:space="preserve"> </w:t>
      </w:r>
      <w:proofErr w:type="spellStart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>Educaţiei</w:t>
      </w:r>
      <w:proofErr w:type="spellEnd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 xml:space="preserve"> </w:t>
      </w:r>
      <w:proofErr w:type="spellStart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>şi</w:t>
      </w:r>
      <w:proofErr w:type="spellEnd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 xml:space="preserve"> </w:t>
      </w:r>
      <w:proofErr w:type="spellStart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>Ştiinţei</w:t>
      </w:r>
      <w:proofErr w:type="spellEnd"/>
      <w:r w:rsidRPr="007C5F74">
        <w:rPr>
          <w:rFonts w:ascii="Times New Roman" w:eastAsia="Times New Roman" w:hAnsi="Times New Roman" w:cs="Times New Roman"/>
          <w:color w:val="CCCCCC"/>
          <w:sz w:val="15"/>
          <w:szCs w:val="15"/>
          <w:lang w:val="en-US" w:eastAsia="ru-RU"/>
        </w:rPr>
        <w:t xml:space="preserve">, powered by </w:t>
      </w:r>
      <w:hyperlink r:id="rId5" w:history="1">
        <w:r w:rsidRPr="007C5F74">
          <w:rPr>
            <w:rFonts w:ascii="Times New Roman" w:eastAsia="Times New Roman" w:hAnsi="Times New Roman" w:cs="Times New Roman"/>
            <w:color w:val="0000FF"/>
            <w:sz w:val="15"/>
            <w:u w:val="single"/>
            <w:lang w:val="en-US" w:eastAsia="ru-RU"/>
          </w:rPr>
          <w:t>www.orc.md</w:t>
        </w:r>
      </w:hyperlink>
    </w:p>
    <w:p w:rsidR="008C7EB4" w:rsidRPr="007C5F74" w:rsidRDefault="008C7EB4">
      <w:pPr>
        <w:rPr>
          <w:lang w:val="en-US"/>
        </w:rPr>
      </w:pPr>
    </w:p>
    <w:sectPr w:rsidR="008C7EB4" w:rsidRPr="007C5F7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326"/>
    <w:multiLevelType w:val="multilevel"/>
    <w:tmpl w:val="00D8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209F"/>
    <w:multiLevelType w:val="multilevel"/>
    <w:tmpl w:val="4B9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0B4"/>
    <w:multiLevelType w:val="multilevel"/>
    <w:tmpl w:val="6D4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C5F74"/>
    <w:rsid w:val="003A6E7B"/>
    <w:rsid w:val="007C5F74"/>
    <w:rsid w:val="008C7EB4"/>
    <w:rsid w:val="00C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0zvvt">
    <w:name w:val="eb0zvvt"/>
    <w:basedOn w:val="DefaultParagraphFont"/>
    <w:rsid w:val="007C5F74"/>
  </w:style>
  <w:style w:type="character" w:styleId="Strong">
    <w:name w:val="Strong"/>
    <w:basedOn w:val="DefaultParagraphFont"/>
    <w:uiPriority w:val="22"/>
    <w:qFormat/>
    <w:rsid w:val="007C5F74"/>
    <w:rPr>
      <w:b/>
      <w:bCs/>
    </w:rPr>
  </w:style>
  <w:style w:type="character" w:customStyle="1" w:styleId="articleseparator">
    <w:name w:val="article_separator"/>
    <w:basedOn w:val="DefaultParagraphFont"/>
    <w:rsid w:val="007C5F74"/>
  </w:style>
  <w:style w:type="character" w:styleId="Hyperlink">
    <w:name w:val="Hyperlink"/>
    <w:basedOn w:val="DefaultParagraphFont"/>
    <w:uiPriority w:val="99"/>
    <w:semiHidden/>
    <w:unhideWhenUsed/>
    <w:rsid w:val="007C5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2014-05-07T12:19:00Z</cp:lastPrinted>
  <dcterms:created xsi:type="dcterms:W3CDTF">2014-05-07T12:12:00Z</dcterms:created>
  <dcterms:modified xsi:type="dcterms:W3CDTF">2014-05-07T12:33:00Z</dcterms:modified>
</cp:coreProperties>
</file>